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jc w:val="both"/>
        <w:rPr>
          <w:rFonts w:ascii="Microsoft YaHei UI" w:hAnsi="Microsoft YaHei UI" w:eastAsia="Microsoft YaHei UI" w:cs="Microsoft YaHei UI"/>
          <w:i w:val="0"/>
          <w:iCs w:val="0"/>
          <w:caps w:val="0"/>
          <w:color w:val="333333"/>
          <w:spacing w:val="8"/>
          <w:sz w:val="24"/>
          <w:szCs w:val="24"/>
        </w:rPr>
      </w:pPr>
      <w:r>
        <w:rPr>
          <w:rFonts w:ascii="黑体" w:hAnsi="宋体" w:eastAsia="黑体" w:cs="黑体"/>
          <w:i w:val="0"/>
          <w:iCs w:val="0"/>
          <w:caps w:val="0"/>
          <w:color w:val="333333"/>
          <w:spacing w:val="8"/>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jc w:val="center"/>
        <w:rPr>
          <w:rFonts w:hint="eastAsia" w:ascii="Microsoft YaHei UI" w:hAnsi="Microsoft YaHei UI" w:eastAsia="Microsoft YaHei UI" w:cs="Microsoft YaHei UI"/>
          <w:i w:val="0"/>
          <w:iCs w:val="0"/>
          <w:caps w:val="0"/>
          <w:color w:val="333333"/>
          <w:spacing w:val="8"/>
          <w:sz w:val="24"/>
          <w:szCs w:val="24"/>
        </w:rPr>
      </w:pPr>
      <w:r>
        <w:rPr>
          <w:rFonts w:hint="eastAsia" w:ascii="Microsoft YaHei UI" w:hAnsi="Microsoft YaHei UI" w:eastAsia="Microsoft YaHei UI" w:cs="Microsoft YaHei UI"/>
          <w:i w:val="0"/>
          <w:iCs w:val="0"/>
          <w:caps w:val="0"/>
          <w:color w:val="333333"/>
          <w:spacing w:val="8"/>
          <w:sz w:val="24"/>
          <w:szCs w:val="24"/>
          <w:shd w:val="clear" w:fill="FFFFFF"/>
        </w:rPr>
        <w:t>CCC</w:t>
      </w: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认证目录新纳入产品描述与界定</w:t>
      </w:r>
    </w:p>
    <w:tbl>
      <w:tblPr>
        <w:tblpPr w:leftFromText="180" w:rightFromText="180" w:vertAnchor="text" w:horzAnchor="page" w:tblpX="981" w:tblpY="1323"/>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3"/>
        <w:gridCol w:w="1200"/>
        <w:gridCol w:w="1411"/>
        <w:gridCol w:w="2192"/>
        <w:gridCol w:w="2121"/>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trPr>
        <w:tc>
          <w:tcPr>
            <w:tcW w:w="87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1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shd w:val="clear" w:fill="FFFFFF"/>
              </w:rPr>
              <w:t> </w:t>
            </w:r>
            <w:r>
              <w:rPr>
                <w:rFonts w:hint="eastAsia" w:asciiTheme="minorEastAsia" w:hAnsiTheme="minorEastAsia" w:eastAsiaTheme="minorEastAsia" w:cstheme="minorEastAsia"/>
                <w:i w:val="0"/>
                <w:iCs w:val="0"/>
                <w:caps w:val="0"/>
                <w:color w:val="333333"/>
                <w:spacing w:val="0"/>
                <w:sz w:val="21"/>
                <w:szCs w:val="21"/>
                <w:bdr w:val="none" w:color="auto" w:sz="0" w:space="0"/>
              </w:rPr>
              <w:t>产品大类</w:t>
            </w:r>
            <w:bookmarkStart w:id="0" w:name="_GoBack"/>
            <w:bookmarkEnd w:id="0"/>
          </w:p>
        </w:tc>
        <w:tc>
          <w:tcPr>
            <w:tcW w:w="123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产品种类及代码</w:t>
            </w:r>
          </w:p>
        </w:tc>
        <w:tc>
          <w:tcPr>
            <w:tcW w:w="144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对产品种类的描述</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产品适用范围</w:t>
            </w:r>
          </w:p>
        </w:tc>
        <w:tc>
          <w:tcPr>
            <w:tcW w:w="219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对产品适用范围的描述或列举</w:t>
            </w:r>
          </w:p>
        </w:tc>
        <w:tc>
          <w:tcPr>
            <w:tcW w:w="2460" w:type="dxa"/>
            <w:tcBorders>
              <w:top w:val="single" w:color="auto" w:sz="8" w:space="0"/>
              <w:left w:val="single" w:color="auto" w:sz="8" w:space="0"/>
              <w:bottom w:val="single" w:color="auto" w:sz="8" w:space="0"/>
              <w:right w:val="single" w:color="auto" w:sz="8" w:space="0"/>
            </w:tcBorders>
            <w:shd w:val="clear" w:color="auto" w:fill="FFFFFF"/>
            <w:tcMar>
              <w:top w:w="54" w:type="dxa"/>
              <w:left w:w="57" w:type="dxa"/>
              <w:bottom w:w="54"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电线电缆</w:t>
            </w:r>
          </w:p>
        </w:tc>
        <w:tc>
          <w:tcPr>
            <w:tcW w:w="123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额定电压450/750V及以下橡皮绝缘、聚氯乙烯绝缘阻燃电线电缆（0104、0105）</w:t>
            </w:r>
          </w:p>
        </w:tc>
        <w:tc>
          <w:tcPr>
            <w:tcW w:w="144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交流额定电压不超过450/750V的动力装置用阻燃电缆。</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额定电压450/750V及以下橡皮绝缘阻燃电线电缆（0104）</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产品标准中列明型号规格、具有阻燃特性的橡皮绝缘电线电缆。</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产品标准：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GB/T5013.3~.8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JB/T8735.2~.3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燃烧特性标准：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GB/T19666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GB31247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额定电压450/750V及以下聚氯乙烯绝缘阻燃电线电缆（0105）</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产品标准中列明型号规格、具有阻燃特性的聚氯乙烯绝缘电线电缆。</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产品标准：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GB/T5023.3~.7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JB/T8734.2~.6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燃烧特性标准：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GB/T19666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GB31247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7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家用和类似用途设备</w:t>
            </w:r>
          </w:p>
        </w:tc>
        <w:tc>
          <w:tcPr>
            <w:tcW w:w="123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电子坐便器（0720）</w:t>
            </w:r>
          </w:p>
        </w:tc>
        <w:tc>
          <w:tcPr>
            <w:tcW w:w="144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额定电压不超过250V；</w:t>
            </w:r>
            <w:r>
              <w:rPr>
                <w:rFonts w:hint="eastAsia" w:asciiTheme="minorEastAsia" w:hAnsiTheme="minorEastAsia" w:eastAsiaTheme="minorEastAsia" w:cstheme="minorEastAsia"/>
                <w:i w:val="0"/>
                <w:iCs w:val="0"/>
                <w:caps w:val="0"/>
                <w:color w:val="333333"/>
                <w:spacing w:val="8"/>
                <w:sz w:val="21"/>
                <w:szCs w:val="21"/>
                <w:bdr w:val="none" w:color="auto" w:sz="0" w:space="0"/>
              </w:rPr>
              <w:br w:type="textWrapping"/>
            </w:r>
            <w:r>
              <w:rPr>
                <w:rFonts w:hint="eastAsia" w:asciiTheme="minorEastAsia" w:hAnsiTheme="minorEastAsia" w:eastAsiaTheme="minorEastAsia" w:cstheme="minorEastAsia"/>
                <w:i w:val="0"/>
                <w:iCs w:val="0"/>
                <w:caps w:val="0"/>
                <w:color w:val="333333"/>
                <w:spacing w:val="8"/>
                <w:sz w:val="21"/>
                <w:szCs w:val="21"/>
                <w:bdr w:val="none" w:color="auto" w:sz="0" w:space="0"/>
              </w:rPr>
              <w:t>2. 以存储、干燥或者销毁方式处理人体排泄物，或喷洗、烘干人体的电子坐便器；</w:t>
            </w:r>
            <w:r>
              <w:rPr>
                <w:rFonts w:hint="eastAsia" w:asciiTheme="minorEastAsia" w:hAnsiTheme="minorEastAsia" w:eastAsiaTheme="minorEastAsia" w:cstheme="minorEastAsia"/>
                <w:i w:val="0"/>
                <w:iCs w:val="0"/>
                <w:caps w:val="0"/>
                <w:color w:val="333333"/>
                <w:spacing w:val="8"/>
                <w:sz w:val="21"/>
                <w:szCs w:val="21"/>
                <w:bdr w:val="none" w:color="auto" w:sz="0" w:space="0"/>
              </w:rPr>
              <w:br w:type="textWrapping"/>
            </w:r>
            <w:r>
              <w:rPr>
                <w:rFonts w:hint="eastAsia" w:asciiTheme="minorEastAsia" w:hAnsiTheme="minorEastAsia" w:eastAsiaTheme="minorEastAsia" w:cstheme="minorEastAsia"/>
                <w:i w:val="0"/>
                <w:iCs w:val="0"/>
                <w:caps w:val="0"/>
                <w:color w:val="333333"/>
                <w:spacing w:val="8"/>
                <w:sz w:val="21"/>
                <w:szCs w:val="21"/>
                <w:bdr w:val="none" w:color="auto" w:sz="0" w:space="0"/>
              </w:rPr>
              <w:t>3. 还包括与普通坐便器一同使用的电子设备。</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电子坐便器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模制式电子坐便器、包装式电子坐便器、冷冻式电子坐便器、真空式电子坐便器；自动盖板装置、加热坐圈、喷洗坐圈</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适用标准：</w:t>
            </w:r>
            <w:r>
              <w:rPr>
                <w:rFonts w:hint="eastAsia" w:asciiTheme="minorEastAsia" w:hAnsiTheme="minorEastAsia" w:eastAsiaTheme="minorEastAsia" w:cstheme="minorEastAsia"/>
                <w:i w:val="0"/>
                <w:iCs w:val="0"/>
                <w:caps w:val="0"/>
                <w:color w:val="333333"/>
                <w:spacing w:val="8"/>
                <w:sz w:val="21"/>
                <w:szCs w:val="21"/>
                <w:bdr w:val="none" w:color="auto" w:sz="0" w:space="0"/>
              </w:rPr>
              <w:br w:type="textWrapping"/>
            </w:r>
            <w:r>
              <w:rPr>
                <w:rFonts w:hint="eastAsia" w:asciiTheme="minorEastAsia" w:hAnsiTheme="minorEastAsia" w:eastAsiaTheme="minorEastAsia" w:cstheme="minorEastAsia"/>
                <w:i w:val="0"/>
                <w:iCs w:val="0"/>
                <w:caps w:val="0"/>
                <w:color w:val="333333"/>
                <w:spacing w:val="8"/>
                <w:sz w:val="21"/>
                <w:szCs w:val="21"/>
                <w:bdr w:val="none" w:color="auto" w:sz="0" w:space="0"/>
              </w:rPr>
              <w:t>GB4706.1</w:t>
            </w:r>
            <w:r>
              <w:rPr>
                <w:rFonts w:hint="eastAsia" w:asciiTheme="minorEastAsia" w:hAnsiTheme="minorEastAsia" w:eastAsiaTheme="minorEastAsia" w:cstheme="minorEastAsia"/>
                <w:i w:val="0"/>
                <w:iCs w:val="0"/>
                <w:caps w:val="0"/>
                <w:color w:val="333333"/>
                <w:spacing w:val="8"/>
                <w:sz w:val="21"/>
                <w:szCs w:val="21"/>
                <w:bdr w:val="none" w:color="auto" w:sz="0" w:space="0"/>
              </w:rPr>
              <w:br w:type="textWrapping"/>
            </w:r>
            <w:r>
              <w:rPr>
                <w:rFonts w:hint="eastAsia" w:asciiTheme="minorEastAsia" w:hAnsiTheme="minorEastAsia" w:eastAsiaTheme="minorEastAsia" w:cstheme="minorEastAsia"/>
                <w:i w:val="0"/>
                <w:iCs w:val="0"/>
                <w:caps w:val="0"/>
                <w:color w:val="333333"/>
                <w:spacing w:val="8"/>
                <w:sz w:val="21"/>
                <w:szCs w:val="21"/>
                <w:bdr w:val="none" w:color="auto" w:sz="0" w:space="0"/>
              </w:rPr>
              <w:t>GB4706.53</w:t>
            </w:r>
            <w:r>
              <w:rPr>
                <w:rFonts w:hint="eastAsia" w:asciiTheme="minorEastAsia" w:hAnsiTheme="minorEastAsia" w:eastAsiaTheme="minorEastAsia" w:cstheme="minorEastAsia"/>
                <w:i w:val="0"/>
                <w:iCs w:val="0"/>
                <w:caps w:val="0"/>
                <w:color w:val="333333"/>
                <w:spacing w:val="8"/>
                <w:sz w:val="21"/>
                <w:szCs w:val="21"/>
                <w:bdr w:val="none" w:color="auto" w:sz="0" w:space="0"/>
              </w:rPr>
              <w:br w:type="textWrapping"/>
            </w:r>
            <w:r>
              <w:rPr>
                <w:rFonts w:hint="eastAsia" w:asciiTheme="minorEastAsia" w:hAnsiTheme="minorEastAsia" w:eastAsiaTheme="minorEastAsia" w:cstheme="minorEastAsia"/>
                <w:i w:val="0"/>
                <w:iCs w:val="0"/>
                <w:caps w:val="0"/>
                <w:color w:val="333333"/>
                <w:spacing w:val="8"/>
                <w:sz w:val="21"/>
                <w:szCs w:val="21"/>
                <w:bdr w:val="none" w:color="auto" w:sz="0" w:space="0"/>
              </w:rPr>
              <w:t>2. 不包括打算使用在经常产生腐蚀性或爆炸性气体（如灰尘、蒸气或瓦斯气体）特殊环境场所的坐便器。</w:t>
            </w:r>
            <w:r>
              <w:rPr>
                <w:rFonts w:hint="eastAsia" w:asciiTheme="minorEastAsia" w:hAnsiTheme="minorEastAsia" w:eastAsiaTheme="minorEastAsia" w:cstheme="minorEastAsia"/>
                <w:i w:val="0"/>
                <w:iCs w:val="0"/>
                <w:caps w:val="0"/>
                <w:color w:val="333333"/>
                <w:spacing w:val="8"/>
                <w:sz w:val="21"/>
                <w:szCs w:val="21"/>
                <w:bdr w:val="none" w:color="auto" w:sz="0" w:space="0"/>
              </w:rPr>
              <w:br w:type="textWrapping"/>
            </w:r>
            <w:r>
              <w:rPr>
                <w:rFonts w:hint="eastAsia" w:asciiTheme="minorEastAsia" w:hAnsiTheme="minorEastAsia" w:eastAsiaTheme="minorEastAsia" w:cstheme="minorEastAsia"/>
                <w:i w:val="0"/>
                <w:iCs w:val="0"/>
                <w:caps w:val="0"/>
                <w:color w:val="333333"/>
                <w:spacing w:val="8"/>
                <w:sz w:val="21"/>
                <w:szCs w:val="21"/>
                <w:bdr w:val="none" w:color="auto" w:sz="0" w:space="0"/>
              </w:rPr>
              <w:t>3. 不包括用化学方式、燃烧方式处理人体排泄物的坐便器。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4. 不包括不与自动盖板装置、加热坐圈、喷洗坐圈组合使用的切碎组件、抽吸水组件、冲洗用水加热组件。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车辆及安全附件</w:t>
            </w:r>
          </w:p>
        </w:tc>
        <w:tc>
          <w:tcPr>
            <w:tcW w:w="123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电动自行车乘员头盔（1105）</w:t>
            </w:r>
          </w:p>
        </w:tc>
        <w:tc>
          <w:tcPr>
            <w:tcW w:w="144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电动自行车驾驶人及乘坐人员佩戴的头盔。</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电动自行车乘员头盔</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在事故中降低电动自行车乘员头部伤害的装具。</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消防产品</w:t>
            </w:r>
          </w:p>
        </w:tc>
        <w:tc>
          <w:tcPr>
            <w:tcW w:w="123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可燃气体探测报警产品（1801）</w:t>
            </w:r>
          </w:p>
        </w:tc>
        <w:tc>
          <w:tcPr>
            <w:tcW w:w="144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可燃气体探测报警产品。</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可燃气体报警控制器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作为可燃气体报警系统的控制中心，能为可燃气体探测器供电、显示可燃气体浓度及接收并发出可燃气体报警信号和故障信号，同时完成相应的显示和控制功能的设备。</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GB16808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工业及商业用途点型可燃气体探测器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工业及商业场所安装使用的用于探测烃类、醚类、酯类、醇类、一氧化碳、氢气及其他可燃性气体、蒸气的点型可燃气体探测器。</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GB15322.1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家用可燃气体探测器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家庭环境使用的用于探测天然气、液化石油气、人工煤气等可燃气体及其不完全燃烧产物的探测器。</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GB15322.2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工业及商业用途便携式可燃气体探测器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工业及商业场所使用的用于探测烃类、醚类、酯类、醇类、一氧化碳、氢气及其他可燃性气体、蒸气的便携式可燃气体探测器。</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GB15322.3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工业及商业用途线型光束可燃气体探测器</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工业及商业场所安装使用的采用光谱吸收原理探测烃类、醚类、酯类、醇类等可燃性气体、蒸气的线型光束可燃气体探测器。</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GB15322.4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7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建材产品</w:t>
            </w:r>
          </w:p>
        </w:tc>
        <w:tc>
          <w:tcPr>
            <w:tcW w:w="123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水性内墙涂料（2104）</w:t>
            </w:r>
          </w:p>
        </w:tc>
        <w:tc>
          <w:tcPr>
            <w:tcW w:w="144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适用于直接在现场涂装、工厂化涂装，对以水泥基及其他非金属材料（木质材料除外）为基材的建筑物内表面进行装饰和保护的各类建筑用水性内墙面涂料。</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水性内墙涂料</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以合成树脂乳液、天然树脂乳液等为主要成膜物质，加入助剂、水或助溶剂等配制而成，涂覆在水泥基及其他非金属材料（木质材料除外）为基材的建筑物内表面的墙面涂料。</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GB18582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2. 不包括水性外墙涂料、腻子、装饰板涂料、建筑无机粉体涂装材料。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7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防爆电气</w:t>
            </w:r>
          </w:p>
        </w:tc>
        <w:tc>
          <w:tcPr>
            <w:tcW w:w="123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防爆灯具及控制装置（2318）</w:t>
            </w:r>
          </w:p>
        </w:tc>
        <w:tc>
          <w:tcPr>
            <w:tcW w:w="144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适用于爆炸性环境，具有防爆安全功能的照明灯具、指示和标志灯具，及配套防爆灯具一起使用、独立安装在灯具之外的光源控制装置。</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防爆灯具</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固定式防爆灯具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2. 便携式防爆灯具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3. 移动式防爆灯具</w:t>
            </w:r>
          </w:p>
        </w:tc>
        <w:tc>
          <w:tcPr>
            <w:tcW w:w="2460" w:type="dxa"/>
            <w:vMerge w:val="restart"/>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GB/T3836.1~.9</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GB/T3836.31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2. 不包括消防应急标志灯具和消防应急照明灯具。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23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防爆灯具用光源控制装置</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独立安装在防爆灯具之外的LED模块用直流/交流电子控制装置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2. 独立安装在防爆灯具之外的气体放电灯用镇流器</w:t>
            </w:r>
          </w:p>
        </w:tc>
        <w:tc>
          <w:tcPr>
            <w:tcW w:w="2460" w:type="dxa"/>
            <w:vMerge w:val="continue"/>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jc w:val="both"/>
              <w:rPr>
                <w:rFonts w:hint="eastAsia" w:asciiTheme="minorEastAsia" w:hAnsiTheme="minorEastAsia" w:eastAsiaTheme="minorEastAsia" w:cstheme="minorEastAsia"/>
                <w:i w:val="0"/>
                <w:iCs w:val="0"/>
                <w:caps w:val="0"/>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 w:hRule="atLeast"/>
        </w:trPr>
        <w:tc>
          <w:tcPr>
            <w:tcW w:w="87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燃气燃烧器具</w:t>
            </w:r>
          </w:p>
        </w:tc>
        <w:tc>
          <w:tcPr>
            <w:tcW w:w="123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商用燃气燃烧器具（2404）</w:t>
            </w:r>
          </w:p>
        </w:tc>
        <w:tc>
          <w:tcPr>
            <w:tcW w:w="144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以城镇燃气为能源，燃烧用空气取自室内、燃烧产物直接或间接排向室外的商用燃气燃烧器具及类似用途的燃具。</w:t>
            </w:r>
          </w:p>
        </w:tc>
        <w:tc>
          <w:tcPr>
            <w:tcW w:w="2265"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额定热负荷不大于80kW、蒸汽压力不大于 80kPa，且设计正常水位水容积小于30L的蒸汽发生器类燃具；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2. 额定热负荷不大于80kW、蒸腔蒸汽压力不大于1200Pa的蒸箱类燃具；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3. 额定热负荷不大于50kW、腔体内压力不大于 80kPa的炸炉类燃具；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4. 额定热负荷不大于50kW的煮食炉类燃具；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5. 额定热负荷不大于80kW的大锅灶类燃具；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6. 额定热负荷不大于50kW的平头炉类燃具；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7. 额定热负荷不大于100kW的常压固定式沸水器类燃具；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8. 焖饭量大于等于6L的饭锅类燃具；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9. 额定热负荷不大于50kW的洗碗机类燃具；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10. 额定热负荷不大于60kW的炒灶类燃具；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11. 额定热负荷不大于50kW的烧烤炉类燃具；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12. 额定热负荷不大于35kW的热板炉类燃具；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13. 额定热负荷不大于80kW的烤箱类燃具；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14. 额定热负荷不大于100kW的类似用途燃具；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15. 以上产品的组合体。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注：以上热负荷指单个燃烧单元的热负荷。</w:t>
            </w:r>
          </w:p>
        </w:tc>
        <w:tc>
          <w:tcPr>
            <w:tcW w:w="219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蒸汽发生器类：蒸汽发生器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2. 蒸箱类：水胆式蒸箱、蒸汽发生式蒸箱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3. 炸炉类：常压炸炉、承压炸炉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4. 煮食炉类：煮面炉、意粉炉、烫菜炉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5. 大锅灶类：大锅灶、摇摆汤锅、夹层锅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6. 平头炉类：煲仔炉、矮汤炉、火锅灶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7. 沸水器类：储水式沸水器、连续式沸水器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8. 饭锅类：饭锅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9. 洗碗机类：洗碗机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10. 炒灶类：炒菜灶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11. 烧烤炉类：烧烤炉、面火炉、烧猪炉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12. 热板炉类：煎炉、扒炉、铁板烧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13. 烤箱类：烤箱、蒸烤箱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14. 类似用途：炒菜机、翻转锅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15. 以上产品的组合体</w:t>
            </w:r>
          </w:p>
        </w:tc>
        <w:tc>
          <w:tcPr>
            <w:tcW w:w="2460" w:type="dxa"/>
            <w:tcBorders>
              <w:top w:val="nil"/>
              <w:left w:val="single" w:color="auto" w:sz="8" w:space="0"/>
              <w:bottom w:val="single" w:color="auto" w:sz="8" w:space="0"/>
              <w:right w:val="single" w:color="auto" w:sz="8" w:space="0"/>
            </w:tcBorders>
            <w:shd w:val="clear" w:color="auto" w:fill="FFFFFF"/>
            <w:tcMar>
              <w:top w:w="54" w:type="dxa"/>
              <w:left w:w="108" w:type="dxa"/>
              <w:bottom w:w="54"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1. 适用标准：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GB35848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2. 如果器具通过市电供电，只涉及额定电压不超过250V的单相电源。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3. 俗称“猛火灶”、“猛火炉”的产品属于商用燃气燃烧器具，根据其用途可归为炒灶类、平头炉类或类似用途燃具。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firstLine="0"/>
              <w:jc w:val="both"/>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8"/>
                <w:sz w:val="21"/>
                <w:szCs w:val="21"/>
                <w:bdr w:val="none" w:color="auto" w:sz="0" w:space="0"/>
              </w:rPr>
              <w:t>4. 不包括固定放置/安装在室外环境使用的燃气燃烧器具（室外是指：会直接受到风吹、雨淋、日晒等气候类型影响的自然环境）。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OGVkMTVlN2Q3OTNmMTRhNTdjNzEwZGM1Mjk2NDMifQ=="/>
  </w:docVars>
  <w:rsids>
    <w:rsidRoot w:val="0AE46CA6"/>
    <w:rsid w:val="0AE46CA6"/>
    <w:rsid w:val="48DA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2024-05-09T07:12:00Z</dcterms:created>
  <dc:creator>唐超</dc:creator>
  <cp:lastModifiedBy>唐超</cp:lastModifiedBy>
  <dcterms:modified xsi:type="dcterms:W3CDTF">2024-05-09T07:15:29Z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2C9A2C13A9BE4301B37C2521E60C9DBD_11</vt:lpwstr>
  </property>
</Properties>
</file>