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outlineLvl w:val="1"/>
        <w:rPr>
          <w:rFonts w:eastAsia="仿宋_GB2312" w:asciiTheme="minorHAnsi" w:hAnsiTheme="minorHAnsi"/>
          <w:sz w:val="24"/>
        </w:rPr>
      </w:pPr>
      <w:r>
        <w:rPr>
          <w:rFonts w:hint="eastAsia" w:ascii="仿宋_GB2312" w:hAnsi="Courier New" w:eastAsia="仿宋_GB2312"/>
          <w:sz w:val="24"/>
        </w:rPr>
        <w:t>附件2：</w:t>
      </w:r>
    </w:p>
    <w:p>
      <w:pPr>
        <w:adjustRightInd w:val="0"/>
        <w:snapToGrid w:val="0"/>
        <w:spacing w:before="156" w:beforeLines="50" w:after="156" w:afterLines="50"/>
        <w:jc w:val="center"/>
        <w:outlineLvl w:val="1"/>
        <w:rPr>
          <w:rFonts w:eastAsia="仿宋_GB2312" w:asciiTheme="minorHAnsi" w:hAnsiTheme="minorHAnsi"/>
          <w:b/>
          <w:bCs/>
          <w:sz w:val="32"/>
          <w:szCs w:val="32"/>
        </w:rPr>
      </w:pPr>
      <w:r>
        <w:rPr>
          <w:rFonts w:hint="eastAsia" w:ascii="仿宋_GB2312" w:hAnsi="Courier New" w:eastAsia="仿宋_GB2312"/>
          <w:b/>
          <w:bCs/>
          <w:sz w:val="32"/>
          <w:szCs w:val="32"/>
        </w:rPr>
        <w:t>GB18581-2020标准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换版</w:t>
      </w:r>
      <w:r>
        <w:rPr>
          <w:rFonts w:hint="eastAsia" w:ascii="仿宋_GB2312" w:hAnsi="Courier New" w:eastAsia="仿宋_GB2312"/>
          <w:b/>
          <w:bCs/>
          <w:sz w:val="32"/>
          <w:szCs w:val="32"/>
        </w:rPr>
        <w:t>申请</w:t>
      </w:r>
    </w:p>
    <w:p>
      <w:pPr>
        <w:adjustRightInd w:val="0"/>
        <w:snapToGrid w:val="0"/>
        <w:spacing w:before="156" w:beforeLines="50" w:after="156" w:afterLines="50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北京中化联合认证有限公司：</w:t>
      </w:r>
    </w:p>
    <w:p>
      <w:pPr>
        <w:spacing w:before="156" w:after="156"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 xml:space="preserve">                   （获证组织名称）已按照GB 18581-2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020《木器涂料中有害物质限量》标准对获证产品有害物质限量进行了控制。现向贵司申请标准换版，换版方式为□单独□结合监督</w:t>
      </w:r>
      <w:r>
        <w:rPr>
          <w:rFonts w:hint="eastAsia" w:ascii="仿宋" w:hAnsi="仿宋" w:eastAsia="仿宋"/>
          <w:sz w:val="24"/>
        </w:rPr>
        <w:sym w:font="Wingdings 2" w:char="00A3"/>
      </w:r>
      <w:r>
        <w:rPr>
          <w:rFonts w:hint="eastAsia" w:ascii="仿宋" w:hAnsi="仿宋" w:eastAsia="仿宋"/>
          <w:sz w:val="24"/>
        </w:rPr>
        <w:t>结合扩大/变更 □结合全面检查□结合证书到期延续。换版申请资料如下：</w:t>
      </w:r>
    </w:p>
    <w:p>
      <w:pPr>
        <w:spacing w:before="50" w:after="156"/>
        <w:ind w:firstLine="48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 依据新版标准制定/修订的CCC获证产品有害物质限量的检验规定（请标明文件名称、编号及份数）</w:t>
      </w:r>
    </w:p>
    <w:p>
      <w:pPr>
        <w:spacing w:before="50" w:after="156"/>
        <w:ind w:firstLine="480"/>
        <w:jc w:val="left"/>
        <w:rPr>
          <w:rFonts w:ascii="仿宋" w:hAnsi="仿宋" w:eastAsia="仿宋"/>
          <w:sz w:val="24"/>
        </w:rPr>
      </w:pPr>
    </w:p>
    <w:p>
      <w:pPr>
        <w:numPr>
          <w:ilvl w:val="0"/>
          <w:numId w:val="1"/>
        </w:numPr>
        <w:spacing w:before="50" w:after="156"/>
        <w:ind w:firstLine="48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按获证单元提交的依据新版标准检验的型式实验报告（限单独换版及无需现场检查的扩大变更换版，请标明型式试验报告的单元名称、报告编号及份数）</w:t>
      </w:r>
    </w:p>
    <w:p>
      <w:pPr>
        <w:spacing w:before="50" w:after="156"/>
        <w:jc w:val="left"/>
        <w:rPr>
          <w:rFonts w:ascii="仿宋" w:hAnsi="仿宋" w:eastAsia="仿宋"/>
          <w:sz w:val="24"/>
        </w:rPr>
      </w:pPr>
    </w:p>
    <w:p>
      <w:pPr>
        <w:spacing w:before="50" w:after="156"/>
        <w:ind w:firstLine="480"/>
        <w:jc w:val="left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/>
          <w:sz w:val="24"/>
        </w:rPr>
        <w:t>3、新版标准调整后的《</w:t>
      </w:r>
      <w:r>
        <w:rPr>
          <w:rFonts w:hint="eastAsia" w:ascii="仿宋_GB2312" w:hAnsi="Courier New" w:eastAsia="仿宋_GB2312"/>
          <w:sz w:val="24"/>
        </w:rPr>
        <w:t>产品一致性清单</w:t>
      </w:r>
      <w:r>
        <w:rPr>
          <w:rFonts w:hint="eastAsia" w:ascii="仿宋" w:hAnsi="仿宋" w:eastAsia="仿宋"/>
          <w:sz w:val="24"/>
        </w:rPr>
        <w:t>》（</w:t>
      </w:r>
      <w:r>
        <w:rPr>
          <w:rFonts w:hint="eastAsia" w:ascii="仿宋_GB2312" w:hAnsi="Courier New" w:eastAsia="仿宋_GB2312"/>
          <w:sz w:val="24"/>
        </w:rPr>
        <w:t>按单元提供）</w:t>
      </w:r>
      <w:r>
        <w:rPr>
          <w:rFonts w:hint="eastAsia" w:ascii="仿宋" w:hAnsi="仿宋" w:eastAsia="仿宋"/>
          <w:sz w:val="24"/>
        </w:rPr>
        <w:t>（请</w:t>
      </w:r>
      <w:r>
        <w:rPr>
          <w:rFonts w:hint="eastAsia" w:ascii="仿宋_GB2312" w:hAnsi="Courier New" w:eastAsia="仿宋_GB2312"/>
          <w:sz w:val="24"/>
        </w:rPr>
        <w:t>标明单元名称，如：聚氨酯清漆</w:t>
      </w:r>
      <w:r>
        <w:rPr>
          <w:rFonts w:hint="eastAsia" w:ascii="仿宋" w:hAnsi="仿宋" w:eastAsia="仿宋"/>
          <w:sz w:val="24"/>
        </w:rPr>
        <w:t>《</w:t>
      </w:r>
      <w:r>
        <w:rPr>
          <w:rFonts w:hint="eastAsia" w:ascii="仿宋_GB2312" w:hAnsi="Courier New" w:eastAsia="仿宋_GB2312"/>
          <w:sz w:val="24"/>
        </w:rPr>
        <w:t>产品一致性清单</w:t>
      </w:r>
      <w:r>
        <w:rPr>
          <w:rFonts w:hint="eastAsia" w:ascii="仿宋" w:hAnsi="仿宋" w:eastAsia="仿宋"/>
          <w:sz w:val="24"/>
        </w:rPr>
        <w:t>》）</w:t>
      </w:r>
    </w:p>
    <w:p>
      <w:pPr>
        <w:spacing w:before="50" w:after="156"/>
        <w:jc w:val="left"/>
        <w:rPr>
          <w:rFonts w:ascii="仿宋_GB2312" w:hAnsi="Courier New" w:eastAsia="仿宋_GB2312"/>
          <w:sz w:val="24"/>
        </w:rPr>
      </w:pPr>
      <w:r>
        <w:rPr>
          <w:rFonts w:hint="eastAsia" w:ascii="仿宋_GB2312" w:hAnsi="Courier New" w:eastAsia="仿宋_GB2312"/>
          <w:sz w:val="24"/>
        </w:rPr>
        <w:t xml:space="preserve">   </w:t>
      </w:r>
    </w:p>
    <w:p>
      <w:pPr>
        <w:spacing w:before="50" w:after="156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4、硝基类清/色漆产品符合新版标准9.1条的证实性材料（具体要求见本方案3.9.3相关规定）</w:t>
      </w:r>
    </w:p>
    <w:p>
      <w:pPr>
        <w:spacing w:before="50" w:after="156"/>
        <w:jc w:val="left"/>
        <w:rPr>
          <w:rFonts w:ascii="仿宋" w:hAnsi="仿宋" w:eastAsia="仿宋"/>
          <w:sz w:val="24"/>
        </w:rPr>
      </w:pPr>
    </w:p>
    <w:p>
      <w:pPr>
        <w:numPr>
          <w:ilvl w:val="0"/>
          <w:numId w:val="2"/>
        </w:numPr>
        <w:spacing w:before="50" w:after="156"/>
        <w:ind w:firstLine="480" w:firstLineChars="200"/>
        <w:jc w:val="left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>旧证书交回方式：□随申请交回原件  □随申请提交销毁的证据  □检查组现场带回。</w:t>
      </w:r>
    </w:p>
    <w:p>
      <w:pPr>
        <w:adjustRightInd w:val="0"/>
        <w:snapToGrid w:val="0"/>
        <w:spacing w:before="156" w:beforeLines="50" w:after="156" w:afterLines="50"/>
        <w:outlineLvl w:val="1"/>
        <w:rPr>
          <w:rFonts w:ascii="仿宋" w:hAnsi="仿宋" w:eastAsia="仿宋" w:cs="Arial"/>
          <w:bCs/>
          <w:sz w:val="24"/>
        </w:rPr>
      </w:pPr>
    </w:p>
    <w:p>
      <w:pPr>
        <w:adjustRightInd w:val="0"/>
        <w:snapToGrid w:val="0"/>
        <w:spacing w:before="156" w:beforeLines="50" w:after="156" w:afterLines="50"/>
        <w:outlineLvl w:val="1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>本公司承诺：所提交的申请材料均真实有效，如有虚假，愿意承担相应的法律责任。</w:t>
      </w:r>
    </w:p>
    <w:p>
      <w:pPr>
        <w:pStyle w:val="2"/>
        <w:rPr>
          <w:rFonts w:ascii="仿宋" w:hAnsi="仿宋" w:eastAsia="仿宋" w:cs="Arial"/>
          <w:bCs/>
          <w:sz w:val="24"/>
          <w:szCs w:val="24"/>
        </w:rPr>
      </w:pPr>
    </w:p>
    <w:p>
      <w:pPr>
        <w:adjustRightInd w:val="0"/>
        <w:snapToGrid w:val="0"/>
        <w:spacing w:before="156" w:beforeLines="50" w:after="156" w:afterLines="50"/>
        <w:jc w:val="center"/>
        <w:outlineLvl w:val="1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 xml:space="preserve">                        申请企业盖章：</w:t>
      </w:r>
    </w:p>
    <w:p>
      <w:pPr>
        <w:adjustRightInd w:val="0"/>
        <w:snapToGrid w:val="0"/>
        <w:spacing w:before="156" w:beforeLines="50" w:after="156" w:afterLines="50"/>
        <w:jc w:val="center"/>
        <w:outlineLvl w:val="1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 xml:space="preserve">                      年   月   日</w:t>
      </w:r>
      <w:r>
        <w:rPr>
          <w:rFonts w:ascii="仿宋" w:hAnsi="仿宋" w:eastAsia="仿宋" w:cs="Arial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225425</wp:posOffset>
                </wp:positionV>
                <wp:extent cx="5905500" cy="1905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1535" y="8395335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pt;margin-top:17.75pt;height:1.5pt;width:465pt;z-index:251660288;mso-width-relative:page;mso-height-relative:page;" filled="f" stroked="t" coordsize="21600,21600" o:gfxdata="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moAjdkAAAAIAQAADwAAAAAAAAABACAAAAAiAAAAZHJzL2Rvd25yZXYueG1s&#10;UEsBAhQAFAAAAAgAh07iQP5Qb1r3AQAAwAMAAA4AAAAAAAAAAQAgAAAAKA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before="156" w:beforeLines="50" w:after="156" w:afterLines="50"/>
        <w:outlineLvl w:val="1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>换版申请材料提交要求：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outlineLvl w:val="1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>1、所提交的申请材料均为电子版，文件夹名称为获证组织名称+涂料标准换版资料，如：XXXX公司涂料标准换版资料。</w:t>
      </w:r>
    </w:p>
    <w:p>
      <w:pPr>
        <w:tabs>
          <w:tab w:val="center" w:pos="4536"/>
        </w:tabs>
        <w:adjustRightInd w:val="0"/>
        <w:snapToGrid w:val="0"/>
        <w:spacing w:before="156" w:beforeLines="50" w:after="156" w:afterLines="50"/>
        <w:ind w:firstLine="480" w:firstLineChars="200"/>
        <w:outlineLvl w:val="1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>2、文件夹内按照上述规定建立子文件夹，子文件夹名称与内容应一致，如：产品一致性清单。</w:t>
      </w:r>
    </w:p>
    <w:p>
      <w:pPr>
        <w:tabs>
          <w:tab w:val="center" w:pos="4536"/>
        </w:tabs>
        <w:adjustRightInd w:val="0"/>
        <w:snapToGrid w:val="0"/>
        <w:spacing w:before="156" w:beforeLines="50" w:after="156" w:afterLines="50"/>
        <w:ind w:firstLine="480" w:firstLineChars="200"/>
        <w:outlineLvl w:val="1"/>
      </w:pPr>
      <w:r>
        <w:rPr>
          <w:rFonts w:hint="eastAsia" w:ascii="仿宋" w:hAnsi="仿宋" w:eastAsia="仿宋" w:cs="Arial"/>
          <w:bCs/>
          <w:sz w:val="24"/>
        </w:rPr>
        <w:t>3、HQC收件邮箱：</w:t>
      </w:r>
      <w:r>
        <w:fldChar w:fldCharType="begin"/>
      </w:r>
      <w:r>
        <w:instrText xml:space="preserve"> HYPERLINK "mailto:kf@hqc-china.com。" </w:instrText>
      </w:r>
      <w:r>
        <w:fldChar w:fldCharType="separate"/>
      </w:r>
      <w:r>
        <w:rPr>
          <w:rFonts w:hint="eastAsia" w:ascii="仿宋" w:eastAsia="仿宋" w:cs="Arial"/>
          <w:bCs/>
        </w:rPr>
        <w:t>kf@hqc-china.com。</w:t>
      </w:r>
      <w:r>
        <w:rPr>
          <w:rFonts w:hint="eastAsia" w:ascii="仿宋" w:eastAsia="仿宋" w:cs="Arial"/>
          <w:bCs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417" w:bottom="1091" w:left="1417" w:header="851" w:footer="5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71053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71053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956A5"/>
    <w:multiLevelType w:val="singleLevel"/>
    <w:tmpl w:val="EFD956A5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5028698D"/>
    <w:multiLevelType w:val="singleLevel"/>
    <w:tmpl w:val="5028698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1A70"/>
    <w:rsid w:val="17F71A70"/>
    <w:rsid w:val="627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2020-11-02T02:35:00Z</dcterms:created>
  <dc:creator>Admin</dc:creator>
  <cp:lastModifiedBy>唐超</cp:lastModifiedBy>
  <dcterms:modified xsi:type="dcterms:W3CDTF">2020-11-02T03:57:33Z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